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F6" w:rsidRPr="00050BF6" w:rsidRDefault="00050BF6">
      <w:pPr>
        <w:rPr>
          <w:rFonts w:ascii="Tw Cen MT" w:hAnsi="Tw Cen MT"/>
        </w:rPr>
      </w:pPr>
      <w:r w:rsidRPr="00050BF6">
        <w:rPr>
          <w:rFonts w:ascii="Tw Cen MT" w:hAnsi="Tw Cen MT"/>
        </w:rPr>
        <w:tab/>
      </w:r>
    </w:p>
    <w:p w:rsidR="003C2234" w:rsidRPr="002922C5" w:rsidRDefault="00050BF6">
      <w:pPr>
        <w:rPr>
          <w:rFonts w:ascii="Tw Cen MT" w:hAnsi="Tw Cen MT"/>
          <w:sz w:val="40"/>
          <w:u w:val="single"/>
        </w:rPr>
      </w:pPr>
      <w:r w:rsidRPr="002922C5">
        <w:rPr>
          <w:rFonts w:ascii="Tw Cen MT" w:hAnsi="Tw Cen MT"/>
          <w:sz w:val="40"/>
          <w:u w:val="single"/>
        </w:rPr>
        <w:t>ACCSC Webinar Sign-In Sheet</w:t>
      </w:r>
    </w:p>
    <w:p w:rsidR="002922C5" w:rsidRPr="002922C5" w:rsidRDefault="002922C5" w:rsidP="002D3148">
      <w:pPr>
        <w:jc w:val="both"/>
        <w:rPr>
          <w:rFonts w:ascii="Tw Cen MT" w:hAnsi="Tw Cen MT"/>
          <w:b/>
          <w:bCs/>
          <w:sz w:val="28"/>
          <w:szCs w:val="23"/>
          <w:bdr w:val="none" w:sz="0" w:space="0" w:color="auto" w:frame="1"/>
          <w:shd w:val="clear" w:color="auto" w:fill="FFFFFF"/>
        </w:rPr>
      </w:pPr>
      <w:r w:rsidRPr="002922C5">
        <w:rPr>
          <w:rFonts w:ascii="Tw Cen MT" w:hAnsi="Tw Cen MT"/>
          <w:b/>
          <w:bCs/>
          <w:sz w:val="28"/>
          <w:szCs w:val="23"/>
          <w:bdr w:val="none" w:sz="0" w:space="0" w:color="auto" w:frame="1"/>
          <w:shd w:val="clear" w:color="auto" w:fill="FFFFFF"/>
        </w:rPr>
        <w:t>A Hard Look at Soft Skills: How to Implement Soft Skills Development</w:t>
      </w:r>
    </w:p>
    <w:p w:rsidR="00050BF6" w:rsidRPr="002922C5" w:rsidRDefault="002922C5" w:rsidP="002D3148">
      <w:pPr>
        <w:jc w:val="both"/>
        <w:rPr>
          <w:rFonts w:ascii="Tw Cen MT" w:hAnsi="Tw Cen MT"/>
          <w:sz w:val="24"/>
        </w:rPr>
      </w:pPr>
      <w:r w:rsidRPr="002922C5">
        <w:rPr>
          <w:rFonts w:ascii="Tw Cen MT" w:hAnsi="Tw Cen MT"/>
          <w:sz w:val="23"/>
          <w:szCs w:val="23"/>
          <w:shd w:val="clear" w:color="auto" w:fill="FFFFFF"/>
        </w:rPr>
        <w:t>In this session, participants will discover methods to lay the foundation of soft skill coverage into the classroom to help build the essential interpersonal skills desired by employers and to help the students grow academically and professionally. Participants will also learn about campus-wide strategies that introduce the building of soft skills before the student even enters a classroom, as well as instructional methods designed to sustain the focus on soft skill development throughout the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22C5" w:rsidRPr="002922C5" w:rsidTr="00050BF6">
        <w:tc>
          <w:tcPr>
            <w:tcW w:w="4675" w:type="dxa"/>
          </w:tcPr>
          <w:p w:rsidR="00050BF6" w:rsidRPr="002922C5" w:rsidRDefault="002D3148" w:rsidP="00050BF6">
            <w:pPr>
              <w:jc w:val="center"/>
              <w:rPr>
                <w:rFonts w:ascii="Tw Cen MT" w:hAnsi="Tw Cen MT"/>
                <w:sz w:val="24"/>
              </w:rPr>
            </w:pPr>
            <w:r w:rsidRPr="002922C5">
              <w:rPr>
                <w:rFonts w:ascii="Tw Cen MT" w:hAnsi="Tw Cen MT"/>
                <w:sz w:val="24"/>
              </w:rPr>
              <w:t>Administrator / Faculty Member</w:t>
            </w:r>
          </w:p>
        </w:tc>
        <w:tc>
          <w:tcPr>
            <w:tcW w:w="4675" w:type="dxa"/>
          </w:tcPr>
          <w:p w:rsidR="00050BF6" w:rsidRPr="002922C5" w:rsidRDefault="00050BF6" w:rsidP="00050BF6">
            <w:pPr>
              <w:jc w:val="center"/>
              <w:rPr>
                <w:rFonts w:ascii="Tw Cen MT" w:hAnsi="Tw Cen MT"/>
                <w:sz w:val="24"/>
              </w:rPr>
            </w:pPr>
            <w:r w:rsidRPr="002922C5">
              <w:rPr>
                <w:rFonts w:ascii="Tw Cen MT" w:hAnsi="Tw Cen MT"/>
                <w:sz w:val="24"/>
              </w:rPr>
              <w:t>Title / Department</w:t>
            </w: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bl>
    <w:p w:rsidR="002922C5" w:rsidRPr="002922C5" w:rsidRDefault="002922C5">
      <w:pPr>
        <w:rPr>
          <w:rFonts w:ascii="Tw Cen MT" w:hAnsi="Tw Cen MT"/>
        </w:rPr>
      </w:pPr>
    </w:p>
    <w:p w:rsidR="002922C5" w:rsidRDefault="002922C5">
      <w:pPr>
        <w:rPr>
          <w:rFonts w:ascii="Tw Cen MT" w:hAnsi="Tw Cen MT"/>
          <w:sz w:val="28"/>
        </w:rPr>
      </w:pPr>
    </w:p>
    <w:p w:rsidR="00050BF6" w:rsidRPr="002922C5" w:rsidRDefault="002922C5">
      <w:pPr>
        <w:rPr>
          <w:rFonts w:ascii="Tw Cen MT" w:hAnsi="Tw Cen MT"/>
          <w:sz w:val="28"/>
        </w:rPr>
      </w:pPr>
      <w:bookmarkStart w:id="0" w:name="_GoBack"/>
      <w:bookmarkEnd w:id="0"/>
      <w:r w:rsidRPr="002922C5">
        <w:rPr>
          <w:rFonts w:ascii="Tw Cen MT" w:hAnsi="Tw Cen MT"/>
          <w:sz w:val="28"/>
        </w:rPr>
        <w:t>Meeting Minutes:</w:t>
      </w:r>
    </w:p>
    <w:p w:rsidR="002922C5" w:rsidRDefault="002922C5"/>
    <w:sectPr w:rsidR="002922C5" w:rsidSect="00050BF6">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2A" w:rsidRDefault="00341B2A" w:rsidP="00050BF6">
      <w:pPr>
        <w:spacing w:after="0" w:line="240" w:lineRule="auto"/>
      </w:pPr>
      <w:r>
        <w:separator/>
      </w:r>
    </w:p>
  </w:endnote>
  <w:endnote w:type="continuationSeparator" w:id="0">
    <w:p w:rsidR="00341B2A" w:rsidRDefault="00341B2A" w:rsidP="0005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2A" w:rsidRDefault="00341B2A" w:rsidP="00050BF6">
      <w:pPr>
        <w:spacing w:after="0" w:line="240" w:lineRule="auto"/>
      </w:pPr>
      <w:r>
        <w:separator/>
      </w:r>
    </w:p>
  </w:footnote>
  <w:footnote w:type="continuationSeparator" w:id="0">
    <w:p w:rsidR="00341B2A" w:rsidRDefault="00341B2A" w:rsidP="0005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76133"/>
    <w:multiLevelType w:val="hybridMultilevel"/>
    <w:tmpl w:val="2760D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8E5013"/>
    <w:multiLevelType w:val="hybridMultilevel"/>
    <w:tmpl w:val="44EE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815B8"/>
    <w:multiLevelType w:val="hybridMultilevel"/>
    <w:tmpl w:val="14AA31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6"/>
    <w:rsid w:val="00050BF6"/>
    <w:rsid w:val="002922C5"/>
    <w:rsid w:val="002D3148"/>
    <w:rsid w:val="00341B2A"/>
    <w:rsid w:val="00683817"/>
    <w:rsid w:val="00C90343"/>
    <w:rsid w:val="00C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18D4-1C3F-429A-B6E6-4515B4B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F6"/>
  </w:style>
  <w:style w:type="paragraph" w:styleId="Footer">
    <w:name w:val="footer"/>
    <w:basedOn w:val="Normal"/>
    <w:link w:val="FooterChar"/>
    <w:uiPriority w:val="99"/>
    <w:unhideWhenUsed/>
    <w:rsid w:val="0005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F6"/>
  </w:style>
  <w:style w:type="paragraph" w:styleId="ListParagraph">
    <w:name w:val="List Paragraph"/>
    <w:basedOn w:val="Normal"/>
    <w:uiPriority w:val="34"/>
    <w:qFormat/>
    <w:rsid w:val="00050BF6"/>
    <w:pPr>
      <w:ind w:left="720"/>
      <w:contextualSpacing/>
    </w:pPr>
  </w:style>
  <w:style w:type="table" w:styleId="TableGrid">
    <w:name w:val="Table Grid"/>
    <w:basedOn w:val="TableNormal"/>
    <w:uiPriority w:val="39"/>
    <w:rsid w:val="000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uiPriority w:val="1"/>
    <w:qFormat/>
    <w:rsid w:val="002D3148"/>
    <w:pPr>
      <w:pBdr>
        <w:bottom w:val="single" w:sz="8" w:space="1" w:color="8496B0" w:themeColor="text2" w:themeTint="99"/>
      </w:pBdr>
      <w:spacing w:before="300" w:after="200" w:line="240" w:lineRule="auto"/>
      <w:jc w:val="center"/>
    </w:pPr>
    <w:rPr>
      <w:rFonts w:eastAsiaTheme="minorEastAsia"/>
      <w:color w:val="262626" w:themeColor="text1" w:themeTint="D9"/>
      <w:sz w:val="114"/>
      <w:szCs w:val="1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Lambert</dc:creator>
  <cp:keywords/>
  <dc:description/>
  <cp:lastModifiedBy>Christopher Lambert</cp:lastModifiedBy>
  <cp:revision>2</cp:revision>
  <dcterms:created xsi:type="dcterms:W3CDTF">2019-01-28T16:26:00Z</dcterms:created>
  <dcterms:modified xsi:type="dcterms:W3CDTF">2019-01-28T16:26:00Z</dcterms:modified>
</cp:coreProperties>
</file>